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What Really Matters</w:t>
      </w:r>
    </w:p>
    <w:p>
      <w:pPr>
        <w:jc w:val="center"/>
      </w:pPr>
      <w:r>
        <w:rPr>
          <w:b w:val="0"/>
        </w:rPr>
        <w:t>Understanding, Experience, and the Clinical Judgment That Helps People Change</w:t>
      </w:r>
    </w:p>
    <w:p>
      <w:pPr>
        <w:jc w:val="center"/>
      </w:pPr>
      <w:r>
        <w:rPr>
          <w:b w:val="0"/>
        </w:rPr>
        <w:t>Brian Kennedy, LMFT</w:t>
      </w:r>
    </w:p>
    <w:p>
      <w:pPr>
        <w:jc w:val="center"/>
      </w:pPr>
      <w:r>
        <w:t>Clinical perspective manuscript • October 6, 2026</w:t>
      </w:r>
    </w:p>
    <w:p>
      <w:pPr>
        <w:jc w:val="center"/>
      </w:pPr>
      <w:r>
        <w:t>Main text: exactly 6,000 words, including section headings and in-text citations. Abstract: 165 words. Title page, abstract, keywords, and references are excluded from the main-text count. Counts use whitespace-separated words.</w:t>
      </w:r>
    </w:p>
    <w:p>
      <w:pPr>
        <w:jc w:val="center"/>
      </w:pPr>
      <w:r>
        <w:t>Prepared for professional review. Final submission length and style depend on the selected publication.</w:t>
      </w:r>
    </w:p>
    <w:p>
      <w:r>
        <w:br w:type="page"/>
      </w:r>
    </w:p>
    <w:p>
      <w:pPr>
        <w:pStyle w:val="Heading1"/>
      </w:pPr>
      <w:r>
        <w:t>Abstract</w:t>
      </w:r>
    </w:p>
    <w:p>
      <w:r>
        <w:t>Early-career therapists face a crowded field of models, techniques, and claims about transformation. This integrative clinical essay proposes a practical organizing question: What conditions help a person encounter familiar experience with greater agency, connection, and responsibility? Drawing on humanistic, attachment, experiential, psychodynamic, family-systems, somatic, and contemplative traditions, the article develops a recurring clinical sequence: understand an adaptation in context; discover its function collaboratively; approach experience at a tolerable pace; make room for relational difference and repair; recognize emerging capacities; and support their use beyond the session. Fictional illustrations clarify the distinction between empathic understanding and agreement, emotional intensity and therapeutic depth, positive experience and demonstrated change, and care and overresponsibility. Research on alliance, responsiveness, and rupture repair informs the discussion without establishing the proposed sequence as a validated treatment protocol. Particular attention is given to neurodiversity, cultural context, therapist authority, and the limits of neuroscience-based explanations. The central argument is that effective integration requires disciplined responsiveness rather than accumulating interventions or privileging a single model.</w:t>
      </w:r>
    </w:p>
    <w:p>
      <w:pPr>
        <w:pStyle w:val="Heading2"/>
      </w:pPr>
      <w:r>
        <w:t>Keywords</w:t>
      </w:r>
    </w:p>
    <w:p>
      <w:r>
        <w:t>therapeutic relationship; clinical judgment; experiential psychotherapy; integration; therapist development; agency</w:t>
      </w:r>
    </w:p>
    <w:p>
      <w:r>
        <w:br w:type="page"/>
      </w:r>
    </w:p>
    <w:p>
      <w:pPr>
        <w:pStyle w:val="Heading1"/>
      </w:pPr>
      <w:r>
        <w:t>What Really Matters</w:t>
      </w:r>
    </w:p>
    <w:p>
      <w:pPr>
        <w:pStyle w:val="Heading2"/>
      </w:pPr>
      <w:r>
        <w:t>Learning to meet the person</w:t>
      </w:r>
    </w:p>
    <w:p>
      <w:pPr>
        <w:ind w:firstLine="720"/>
      </w:pPr>
      <w:r>
        <w:rPr>
          <w:i w:val="0"/>
        </w:rPr>
        <w:t>When I was a younger therapist, I wanted to know what to do. I wanted the right question, the right interpretation, and a reliable way to help when someone became frightened, ashamed, angry, or silent. Theory offered orientation. Training offered procedures. Both mattered. Without them, caring can become improvisation without adequate knowledge of risk, diagnosis, or the demands of treatment.</w:t>
      </w:r>
    </w:p>
    <w:p>
      <w:pPr>
        <w:ind w:firstLine="720"/>
      </w:pPr>
      <w:r>
        <w:rPr>
          <w:i w:val="0"/>
        </w:rPr>
        <w:t>After more than thirty years in practice, I remain interested in technique. But another question increasingly organizes my attention: What is happening between us that makes a different experience possible? A client may describe the same problem for months, then briefly feel less compelled to defend, perform, or disappear. The words may be familiar. Something about the encounter has changed. Our task is to recognize that difference, investigate it, and learn whether it matters outside the room.</w:t>
      </w:r>
    </w:p>
    <w:p>
      <w:pPr>
        <w:ind w:firstLine="720"/>
      </w:pPr>
      <w:r>
        <w:rPr>
          <w:i w:val="0"/>
        </w:rPr>
        <w:t>This is an essay about that task, written especially for therapists still developing their clinical judgment. Its argument is that people often change when the conditions under which they encounter themselves change. An experience once met with humiliation may become approachable with curiosity. A need once followed by rejection may become speakable in a relationship that tolerates difference. An impulse once obeyed automatically may become something the person can notice and evaluate.</w:t>
      </w:r>
    </w:p>
    <w:p>
      <w:pPr>
        <w:ind w:firstLine="720"/>
      </w:pPr>
      <w:r>
        <w:rPr>
          <w:i w:val="0"/>
        </w:rPr>
        <w:t>That proposition is a clinical synthesis, not a newly validated theory of psychotherapy. It does not displace effective disorder-specific treatment, medication, practical assistance, or assessment. It asks how we conduct those activities with the person before us. A useful intervention can become coercive when imposed. A thoughtful interpretation can become another experience of being defined. Even compassion can become intrusive if the therapist decides what the client ought to receive.</w:t>
      </w:r>
    </w:p>
    <w:p>
      <w:pPr>
        <w:ind w:firstLine="720"/>
      </w:pPr>
      <w:r>
        <w:rPr>
          <w:i w:val="0"/>
        </w:rPr>
        <w:t>The books that have accompanied my work are not unanimous. Rogers, Winnicott, Bowlby, Fosha, Bowen, Yalom, Gendlin, Jung, and contemporary neuroscience writers describe different processes and make different assumptions. Their disagreements are useful. I do not want an integration that makes every writer say the same thing. I want one that helps a therapist ask better questions and notice when a favored explanation has stopped serving the client.</w:t>
      </w:r>
    </w:p>
    <w:p>
      <w:pPr>
        <w:ind w:firstLine="720"/>
      </w:pPr>
      <w:r>
        <w:rPr>
          <w:i w:val="0"/>
        </w:rPr>
        <w:t>The illustrations below are fictional teaching constructions. They are not case reports, quotations from identifiable clients, or evidence of treatment efficacy. Their purpose is to make the proposed clinical reasoning visible. The sequence they illustrate is recursive: understanding, experience, relationship, emergence, and practice continually inform one another. A therapist may begin anywhere within it, return repeatedly, or discover that another approach is needed.</w:t>
      </w:r>
    </w:p>
    <w:p>
      <w:pPr>
        <w:pStyle w:val="Heading2"/>
      </w:pPr>
      <w:r>
        <w:t>Understand the adaptation without inventing its history</w:t>
      </w:r>
    </w:p>
    <w:p>
      <w:pPr>
        <w:ind w:firstLine="720"/>
      </w:pPr>
      <w:r>
        <w:rPr>
          <w:i w:val="0"/>
        </w:rPr>
        <w:t>Most clients arrive with explanations of what is wrong with them. They are too needy, too controlling, too sensitive, too detached, or never quite enough. Some explanations came from other people. Others developed through repeated disappointment. Therapy can unintentionally strengthen this arrangement by replacing ordinary criticism with sophisticated clinical language. The client acquires a better vocabulary for defectiveness without acquiring more freedom.</w:t>
      </w:r>
    </w:p>
    <w:p>
      <w:pPr>
        <w:ind w:firstLine="720"/>
      </w:pPr>
      <w:r>
        <w:rPr>
          <w:i w:val="0"/>
        </w:rPr>
        <w:t>A useful beginning is to ask what a pattern does. Does withdrawal reduce exposure to humiliation? Does worry provide a sense of preparation? Does relentless helpfulness maintain access to relationship? Does anger restore a temporary feeling of power? These are questions about function, not declarations about origin. A pattern may serve several functions, change across contexts, or have more to do with exhaustion and practical obstacles than with psychological protection.</w:t>
      </w:r>
    </w:p>
    <w:p>
      <w:pPr>
        <w:ind w:firstLine="720"/>
      </w:pPr>
      <w:r>
        <w:rPr>
          <w:i w:val="0"/>
        </w:rPr>
        <w:t>Psychodynamic traditions encourage attention to defenses as meaningful organizations of experience. Winnicott's account of the false self illuminates accommodation that preserves connection at the expense of spontaneity (1960/1965). His work on play adds another possibility: development requires room to discover, not merely comply (1971). These concepts become useful when they sharpen observation. They become harmful when the therapist identifies a hidden authentic person and treats the client's present self as counterfeit.</w:t>
      </w:r>
    </w:p>
    <w:p>
      <w:pPr>
        <w:ind w:firstLine="720"/>
      </w:pPr>
      <w:r>
        <w:rPr>
          <w:i w:val="0"/>
        </w:rPr>
        <w:t>Parts approaches offer another vocabulary. Schwartz's Internal Family Systems, the Watkinses' ego-state therapy, and Hal and Sidra Stone's Voice Dialogue all invite attention to multiplicity, although their theories and procedures differ (Schwartz &amp; Sweezy, 2020; Watkins &amp; Watkins, 1997; Stone &amp; Stone, 1989). Their common clinical usefulness here is that a person need not become identical with one reaction. Someone can notice both the drive to succeed and the impulse to stop.</w:t>
      </w:r>
    </w:p>
    <w:p>
      <w:pPr>
        <w:ind w:firstLine="720"/>
      </w:pPr>
      <w:r>
        <w:rPr>
          <w:i w:val="0"/>
        </w:rPr>
        <w:t>Parts language remains optional. Some clients find it clarifying; others find it artificial or infantilizing. A younger feeling, image, or imagined figure is an experience occurring now. It does not establish the age at which an injury occurred or verify a forgotten event. The therapist should not turn an evocative metaphor into a historical finding. Respecting experience includes respecting what we do not know about it.</w:t>
      </w:r>
    </w:p>
    <w:p>
      <w:pPr>
        <w:ind w:firstLine="720"/>
      </w:pPr>
      <w:r>
        <w:rPr>
          <w:i w:val="0"/>
        </w:rPr>
        <w:t>Imagine an adult who alternates between ambitious plans and immobilization. One hypothesis is that refusing to begin protects against failure. Another is that the person has executive-function difficulties, unrealistic workload, poor sleep, or insufficient support. The therapist needs both curiosity and assessment. Discovering a protective function does not eliminate the need for accommodations, structure, medical evaluation, or concrete help. A humane formulation should enlarge the field of possibilities.</w:t>
      </w:r>
    </w:p>
    <w:p>
      <w:pPr>
        <w:ind w:firstLine="720"/>
      </w:pPr>
      <w:r>
        <w:rPr>
          <w:i w:val="0"/>
        </w:rPr>
        <w:t>The stance I recommend is simple: understand before attempting to change, and keep understanding revisable. An adaptation may have helped someone survive while now causing serious harm. Respect for its history does not require preserving its current consequences. We can say, in effect, that there is a reason this response makes sense and there are also reasons to develop alternatives. Dignity and change belong together.</w:t>
      </w:r>
    </w:p>
    <w:p>
      <w:pPr>
        <w:pStyle w:val="Heading2"/>
      </w:pPr>
      <w:r>
        <w:t>Keep the capacity; loosen the obligation</w:t>
      </w:r>
    </w:p>
    <w:p>
      <w:pPr>
        <w:ind w:firstLine="720"/>
      </w:pPr>
      <w:r>
        <w:rPr>
          <w:i w:val="0"/>
        </w:rPr>
        <w:t>Adaptations frequently contain abilities worth preserving. Vigilance can include perceptiveness. Accommodation can include generosity. Perfectionism can include craftsmanship. Independence can include resourcefulness. If therapy treats the entire arrangement as pathology, the client may reasonably fear losing something valuable. We need to distinguish a capacity from the obligation to use it constantly, regardless of cost or circumstance.</w:t>
      </w:r>
    </w:p>
    <w:p>
      <w:pPr>
        <w:ind w:firstLine="720"/>
      </w:pPr>
      <w:r>
        <w:rPr>
          <w:i w:val="0"/>
        </w:rPr>
        <w:t>Assagioli's psychosynthesis offers one historical language for differentiation and integration (1965). Its relevance here is not a requirement to accept its entire account of the self. It encourages consideration of how an ability can participate in a larger life without governing that life. The careful person need not become careless. Carefulness can become available by choice rather than carrying responsibility for preventing every possible disaster.</w:t>
      </w:r>
    </w:p>
    <w:p>
      <w:pPr>
        <w:ind w:firstLine="720"/>
      </w:pPr>
      <w:r>
        <w:rPr>
          <w:i w:val="0"/>
        </w:rPr>
        <w:t>Consider a client who monitors everyone else's mood. The therapist might explore how that monitoring has supported empathy, while also asking what happens when the client does not perform it. Perhaps anxiety appears. Perhaps another person becomes angry. Perhaps nothing happens. Each possibility supplies different information. The aim is not to celebrate sensitivity abstractly, but to learn when it serves connection and when it makes self-abandonment compulsory.</w:t>
      </w:r>
    </w:p>
    <w:p>
      <w:pPr>
        <w:ind w:firstLine="720"/>
      </w:pPr>
      <w:r>
        <w:rPr>
          <w:i w:val="0"/>
        </w:rPr>
        <w:t>This distinction also protects against flattering clients into a preferred identity. Calling every costly adaptation a gift can romanticize deprivation. Some responses contain little that the person wishes to retain. The learner's task is not to find a hidden blessing in suffering. Our task is to help them examine the arrangement honestly, preserve what they value, and gain options that do not depend on denial.</w:t>
      </w:r>
    </w:p>
    <w:p>
      <w:pPr>
        <w:pStyle w:val="Heading2"/>
      </w:pPr>
      <w:r>
        <w:t>Attachment needs and the freedom to differ</w:t>
      </w:r>
    </w:p>
    <w:p>
      <w:pPr>
        <w:ind w:firstLine="720"/>
      </w:pPr>
      <w:r>
        <w:rPr>
          <w:i w:val="0"/>
        </w:rPr>
        <w:t>Bowlby's secure-base formulation connects attachment with exploration (1988). Its clinical value extends beyond reassurance: reliable connection can help a person investigate unfamiliar experience. A client who expects disagreement to end a relationship may need to discover that disagreement can be spoken and considered. A client who expects need to provoke contempt may need help making a specific request without either hiding it or demanding its fulfillment.</w:t>
      </w:r>
    </w:p>
    <w:p>
      <w:pPr>
        <w:ind w:firstLine="720"/>
      </w:pPr>
      <w:r>
        <w:rPr>
          <w:i w:val="0"/>
        </w:rPr>
        <w:t>Attachment explanations can also become reductive. Not every conflict is an attachment injury. People differ in values, interests, capacities, and obligations. A partner may be unavailable, a workplace exploitative, or a family demand unreasonable. Therapy must consider whether the person needs internal flexibility, a different relationship arrangement, protection from harm, or some combination. Helping someone tolerate distress should never automatically mean helping them tolerate mistreatment.</w:t>
      </w:r>
    </w:p>
    <w:p>
      <w:pPr>
        <w:ind w:firstLine="720"/>
      </w:pPr>
      <w:r>
        <w:rPr>
          <w:i w:val="0"/>
        </w:rPr>
        <w:t>Bowen's differentiation provides useful friction against a version of attachment work that makes soothing the primary goal (1978). Developing a position while remaining connected can involve anxiety. A person may need to withstand disappointment rather than immediately repair another person's feelings. Conversely, differentiation should not become an elegant justification for withdrawal. The capacity to remain oneself includes the capacity to hear an unwelcome account of one's impact.</w:t>
      </w:r>
    </w:p>
    <w:p>
      <w:pPr>
        <w:ind w:firstLine="720"/>
      </w:pPr>
      <w:r>
        <w:rPr>
          <w:i w:val="0"/>
        </w:rPr>
        <w:t>Sue Johnson's emotionally focused approach highlights the attachment significance of interactional cycles, while Satir attends to congruence and relational communication (Johnson, 2019; Satir et al., 1991). These perspectives remind us that a response has meaning within an exchange. The same silence may function as self-regulation, punishment, fear, or the only available pause. We cannot decide which simply by naming a style.</w:t>
      </w:r>
    </w:p>
    <w:p>
      <w:pPr>
        <w:ind w:firstLine="720"/>
      </w:pPr>
      <w:r>
        <w:rPr>
          <w:i w:val="0"/>
        </w:rPr>
        <w:t>In individual therapy, the absent person's perspective remains a major limitation. A persuasive narrative can draw us into alliance against someone we have never met. We should help clients distinguish what happened, what they inferred, what they felt, and what they did next. That discipline does not invalidate their suffering. It supports agency by locating choices alongside injuries, and acknowledges that other people also possess needs and limits.</w:t>
      </w:r>
    </w:p>
    <w:p>
      <w:pPr>
        <w:pStyle w:val="Heading2"/>
      </w:pPr>
      <w:r>
        <w:t>Find the moment before the familiar response</w:t>
      </w:r>
    </w:p>
    <w:p>
      <w:pPr>
        <w:ind w:firstLine="720"/>
      </w:pPr>
      <w:r>
        <w:rPr>
          <w:i w:val="0"/>
        </w:rPr>
        <w:t>Broad formulations become useful when they illuminate specific moments. A client reports withdrawing during conflict. Rather than immediately explaining attachment, we can reconstruct the sequence: the partner's words, the client's interpretation, a bodily change, an urge, an action, and its consequence. This slows an event that initially appeared inevitable. Somewhere within the sequence there may be a place to notice, ask, pause, or choose differently.</w:t>
      </w:r>
    </w:p>
    <w:p>
      <w:pPr>
        <w:ind w:firstLine="720"/>
      </w:pPr>
      <w:r>
        <w:rPr>
          <w:i w:val="0"/>
        </w:rPr>
        <w:t>Gendlin's focusing-oriented psychotherapy directs attention toward an initially unclear, bodily felt sense of a situation (1996). The therapist does not need to name it in advance. A word or image may fit, then change as the person checks it against experience. Kurtz's Hakomi approach similarly offers ways of investigating present organization through mindful attention and small experiments (1990). These traditions make room for discovery beyond fluent explanation.</w:t>
      </w:r>
    </w:p>
    <w:p>
      <w:pPr>
        <w:ind w:firstLine="720"/>
      </w:pPr>
      <w:r>
        <w:rPr>
          <w:i w:val="0"/>
        </w:rPr>
        <w:t>Somatic attention is an invitation, not a universal entrance. Some clients cannot identify internal sensations easily. Others become frightened or dissociative when attention turns inward. Neurodivergent clients may describe emotion through events, images, movement, or practical language rather than familiar bodily metaphors. Asking repeatedly about the chest after someone has said they do not know may communicate that they are doing therapy incorrectly.</w:t>
      </w:r>
    </w:p>
    <w:p>
      <w:pPr>
        <w:ind w:firstLine="720"/>
      </w:pPr>
      <w:r>
        <w:rPr>
          <w:i w:val="0"/>
        </w:rPr>
        <w:t>Alternative questions remain experiential: What changed in your attention? What did you want to do? What words arrived? Did the room seem farther away? What would help you remain here? Sometimes drawing, standing, looking outside, or describing an ordinary object creates more contact than closing the eyes. The therapist should judge a practice by its effects on this person's participation, not by how convincingly it resembles a model.</w:t>
      </w:r>
    </w:p>
    <w:p>
      <w:pPr>
        <w:ind w:firstLine="720"/>
      </w:pPr>
      <w:r>
        <w:rPr>
          <w:i w:val="0"/>
        </w:rPr>
        <w:t>Damasio's work challenges a clean separation of reason from bodily feeling; Schore emphasizes affect regulation and nonverbal relational processes; Siegel offers an integrative framework linking mind, brain, and relationship (Damasio, 1994; Schore, 2012; Siegel, 2020). These contributions help us take experience seriously. They do not permit us to infer a specific neural event from a sigh, a softened face, or an emotionally compelling session.</w:t>
      </w:r>
    </w:p>
    <w:p>
      <w:pPr>
        <w:ind w:firstLine="720"/>
      </w:pPr>
      <w:r>
        <w:rPr>
          <w:i w:val="0"/>
        </w:rPr>
        <w:t>Clinically, we can describe what we observed: the client slowed down, identified a feeling, disagreed, or considered an alternative. We may hypothesize that learning is occurring. We should not announce that the nervous system has been rewired or a memory reconsolidated. Such language can lend unwarranted certainty to ordinary observation. Neuroscience should discipline our explanations, including our willingness to leave a mechanism unspecified.</w:t>
      </w:r>
    </w:p>
    <w:p>
      <w:pPr>
        <w:pStyle w:val="Heading2"/>
      </w:pPr>
      <w:r>
        <w:t>Depth requires participation, not maximum intensity</w:t>
      </w:r>
    </w:p>
    <w:p>
      <w:pPr>
        <w:ind w:firstLine="720"/>
      </w:pPr>
      <w:r>
        <w:rPr>
          <w:i w:val="0"/>
        </w:rPr>
        <w:t>Early in practice, emotional intensity can seem like evidence that the work is finally reaching its target. Sometimes strong emotion accompanies meaningful change. Sometimes it reflects flooding, shame, escalating suggestion, or the client's effort to satisfy the therapist. Tears do not tell us which. The more important question is whether the person remains sufficiently present to notice, evaluate, communicate, and influence what happens next.</w:t>
      </w:r>
    </w:p>
    <w:p>
      <w:pPr>
        <w:ind w:firstLine="720"/>
      </w:pPr>
      <w:r>
        <w:rPr>
          <w:i w:val="0"/>
        </w:rPr>
        <w:t>Levine, Ogden and colleagues, Rothschild, and van der Kolk offer influential accounts of bodily dimensions of traumatic stress and treatment (Levine, 1997; Ogden et al., 2006; Rothschild, 2000; van der Kolk, 2014). Their approaches are not interchangeable, and broad trauma language should not replace differential assessment. A useful shared clinical concern is how to approach difficult experience without reproducing helplessness or demanding that the person endure more than they can use.</w:t>
      </w:r>
    </w:p>
    <w:p>
      <w:pPr>
        <w:ind w:firstLine="720"/>
      </w:pPr>
      <w:r>
        <w:rPr>
          <w:i w:val="0"/>
        </w:rPr>
        <w:t>An invitation to contact a small amount of an experience can help. We might ask whether a person wants to notice its edge while keeping the room in view, or whether it would be better to remain with ordinary conversation. A percentage such as ten percent is only a conversational metaphor. It is not a measurement, treatment dose, or validated rule. Some people need less; some need a different activity altogether.</w:t>
      </w:r>
    </w:p>
    <w:p>
      <w:pPr>
        <w:ind w:firstLine="720"/>
      </w:pPr>
      <w:r>
        <w:rPr>
          <w:i w:val="0"/>
        </w:rPr>
        <w:t>Suppose a fictional client notices sadness and then becomes distant. Continuing to ask for deeper feeling may increase disengagement. The therapist can name the observable change, ask what the client notices, and offer choices. Returning attention to the room is not a failed attempt at depth. It may be the experience through which the person learns that closeness to distress does not require surrendering influence over the encounter.</w:t>
      </w:r>
    </w:p>
    <w:p>
      <w:pPr>
        <w:ind w:firstLine="720"/>
      </w:pPr>
      <w:r>
        <w:rPr>
          <w:i w:val="0"/>
        </w:rPr>
        <w:t>Pacing also applies to positive experience. Warmth, attention, and praise can overwhelm someone who associates visibility with danger or obligation. The therapist's delight may need to become quieter. A client may prefer acknowledgment without prolonged focus. Consent is not exhausted by asking permission at the beginning. It is sustained through responsiveness to verbal and nonverbal signs, with explicit checking when their meaning is uncertain.</w:t>
      </w:r>
    </w:p>
    <w:p>
      <w:pPr>
        <w:pStyle w:val="Heading2"/>
      </w:pPr>
      <w:r>
        <w:t>Discovery and the limits of interpretation</w:t>
      </w:r>
    </w:p>
    <w:p>
      <w:pPr>
        <w:ind w:firstLine="720"/>
      </w:pPr>
      <w:r>
        <w:rPr>
          <w:i w:val="0"/>
        </w:rPr>
        <w:t>An interpretation may be accurate and still arrive too soon. The therapist sees a pattern, explains it, and receives agreement. Agreement can mean recognition. It can also mean politeness, fatigue, deference, or relief that the therapist has stopped asking questions. Particularly with people skilled at accommodation, a coherent formulation can become another assignment: be the person the clinician understands so well.</w:t>
      </w:r>
    </w:p>
    <w:p>
      <w:pPr>
        <w:ind w:firstLine="720"/>
      </w:pPr>
      <w:r>
        <w:rPr>
          <w:i w:val="0"/>
        </w:rPr>
        <w:t>Rogers' emphasis on empathy, congruence, and acceptance gives us a foundation for collaborative understanding (1957). Gendlin adds attention to the client's ongoing experiential checking. Their work does not prohibit interpretation. It changes the standard by which interpretation is judged. Does it help the person encounter something more clearly? Can they reject it? Does it generate their own words, or merely teach them ours?</w:t>
      </w:r>
    </w:p>
    <w:p>
      <w:pPr>
        <w:ind w:firstLine="720"/>
      </w:pPr>
      <w:r>
        <w:rPr>
          <w:i w:val="0"/>
        </w:rPr>
        <w:t>Useful interpretation often begins provisionally. We can offer a possible connection and ask which part fits. We can notice that a phrase has become abstract and return to a recent incident. We can admit that two explanations remain plausible. Sometimes the client finds language that is simpler and more accurate than our theory. At those moments, adding sophistication can dilute rather than deepen the discovery.</w:t>
      </w:r>
    </w:p>
    <w:p>
      <w:pPr>
        <w:ind w:firstLine="720"/>
      </w:pPr>
      <w:r>
        <w:rPr>
          <w:i w:val="0"/>
        </w:rPr>
        <w:t>Jung's writing on individuation offers a broad concern with becoming more fully oneself rather than identifying wholly with a socially approved persona (1966). It also reminds us that material excluded from identity may include tenderness, assertiveness, desire, or creativity, not only aggression. But symbolic interpretation requires restraint. A dream, image, or fantasy can support inquiry without becoming evidence for an authoritative account of the client's unconscious.</w:t>
      </w:r>
    </w:p>
    <w:p>
      <w:pPr>
        <w:ind w:firstLine="720"/>
      </w:pPr>
      <w:r>
        <w:rPr>
          <w:i w:val="0"/>
        </w:rPr>
        <w:t>Yalom's clinical writing makes the therapist's uncertainty and participation visible (1980, 2002). His relevance here is the invitation to remain a person while exercising professional judgment. We need not conceal all uncertainty to be useful. The young therapist's development includes learning which uncertainty to investigate privately, which to bring into supervision, and which can be acknowledged in the room without transferring the burden of treatment to the client.</w:t>
      </w:r>
    </w:p>
    <w:p>
      <w:pPr>
        <w:pStyle w:val="Heading2"/>
      </w:pPr>
      <w:r>
        <w:t>Notice what is emerging</w:t>
      </w:r>
    </w:p>
    <w:p>
      <w:pPr>
        <w:ind w:firstLine="720"/>
      </w:pPr>
      <w:r>
        <w:rPr>
          <w:i w:val="0"/>
        </w:rPr>
        <w:t>Therapists learn to detect distress. We also need to detect capacities that become available within it. Anger may bring a clearer boundary. Sadness may become bearable enough to mourn. Curiosity may replace certainty. A client may ask directly for support, refuse an interpretation, or acknowledge causing harm without collapsing. These are different developments. The therapist should describe the specific capacity rather than declaring transformation because the session feels moving.</w:t>
      </w:r>
    </w:p>
    <w:p>
      <w:pPr>
        <w:ind w:firstLine="720"/>
      </w:pPr>
      <w:r>
        <w:rPr>
          <w:i w:val="0"/>
        </w:rPr>
        <w:t>Fosha's concept of transformance directs attention toward signs of adaptive movement, alongside defensive organization (2000a). Her work on metatherapeutic processing asks what happens when the experience of change itself becomes a focus of attention (2000b, 2009). This is a valuable correction to treatment that moves from problem to problem. A shift may deserve investigation before the therapist returns to explanation or assigns the next task.</w:t>
      </w:r>
    </w:p>
    <w:p>
      <w:pPr>
        <w:ind w:firstLine="720"/>
      </w:pPr>
      <w:r>
        <w:rPr>
          <w:i w:val="0"/>
        </w:rPr>
        <w:t>A fictional client says that she spoke honestly to a colleague and felt steadier afterward. We can ask what was different, whether the steadiness is available as she tells us, and what she makes of it. Perhaps she recognizes that she can be direct without becoming cruel. Perhaps she notices fear alongside pride. Perhaps she discovers that the colleague responded poorly and the practical problem remains unresolved. Each answer matters.</w:t>
      </w:r>
    </w:p>
    <w:p>
      <w:pPr>
        <w:ind w:firstLine="720"/>
      </w:pPr>
      <w:r>
        <w:rPr>
          <w:i w:val="0"/>
        </w:rPr>
        <w:t>The point is not to prolong a positive feeling at any cost. It is to help the client examine a new experience without immediately erasing, idealizing, or converting it into performance. Relief may be meaningful but temporary. Pride may coexist with avoidant action. A warm session can occur without improved functioning. We should remain interested in both the experience and the evidence that it is expanding life.</w:t>
      </w:r>
    </w:p>
    <w:p>
      <w:pPr>
        <w:ind w:firstLine="720"/>
      </w:pPr>
      <w:r>
        <w:rPr>
          <w:i w:val="0"/>
        </w:rPr>
        <w:t>Affirmation requires the same precision. Saying that something was brave may fit; it may also impose a preferred reading. Some clients feel patronized by enthusiastic praise. Others hear praise as a demand to repeat the performance. We can ask how acknowledgment lands and adjust accordingly. Accurate recognition supports authorship when it helps the client see their action, rather than become dependent on our approval of it.</w:t>
      </w:r>
    </w:p>
    <w:p>
      <w:pPr>
        <w:pStyle w:val="Heading2"/>
      </w:pPr>
      <w:r>
        <w:t>When something good feels dangerous</w:t>
      </w:r>
    </w:p>
    <w:p>
      <w:pPr>
        <w:ind w:firstLine="720"/>
      </w:pPr>
      <w:r>
        <w:rPr>
          <w:i w:val="0"/>
        </w:rPr>
        <w:t>Support can activate fear of loss. Rest can evoke guilt. Pleasure can provoke exposure or obligation. Success can raise expectations the person does not want to carry. These reactions deserve inquiry, but they should not automatically be labeled resistance. The client may have sound reasons to distrust a particular offer, and the therapist may be missing its cost. Positive experience is defined by the person's encounter, not our intention.</w:t>
      </w:r>
    </w:p>
    <w:p>
      <w:pPr>
        <w:ind w:firstLine="720"/>
      </w:pPr>
      <w:r>
        <w:rPr>
          <w:i w:val="0"/>
        </w:rPr>
        <w:t>Imagine a fictional client who feels comforted, then says the therapist will eventually become disappointed. We might explore the expectation without promising that disappointment will never occur. We can distinguish a familiar forecast from something happening between us now. We can also ask whether our behavior has contributed: perhaps we have praised progress and become less engaged when the client struggles. The client's mistrust may contain accurate information about us.</w:t>
      </w:r>
    </w:p>
    <w:p>
      <w:pPr>
        <w:ind w:firstLine="720"/>
      </w:pPr>
      <w:r>
        <w:rPr>
          <w:i w:val="0"/>
        </w:rPr>
        <w:t>Trust grows through evidence, including evidence of limits. A therapist who promises constant understanding offers something unsustainable. A therapist who can acknowledge misattunement, maintain boundaries, and remain interested after disagreement offers a more credible relationship. The aim is not to make every wary response disappear. It is to help the person discriminate among danger, uncertainty, remembered expectation, and an opportunity worth testing.</w:t>
      </w:r>
    </w:p>
    <w:p>
      <w:pPr>
        <w:ind w:firstLine="720"/>
      </w:pPr>
      <w:r>
        <w:rPr>
          <w:i w:val="0"/>
        </w:rPr>
        <w:t>Fosha's attention to transformational experience and Welwood's concern with embodied psychological development help frame this inquiry, though they speak from different traditions (Fosha, 2009; Welwood, 2000). Their usefulness does not depend on insisting that a client accept affection or remain with goodness. Receiving itself can be approached experimentally: a little acknowledgment, a chance to evaluate it, and freedom to decline further attention.</w:t>
      </w:r>
    </w:p>
    <w:p>
      <w:pPr>
        <w:pStyle w:val="Heading2"/>
      </w:pPr>
      <w:r>
        <w:t>The relationship must permit correction</w:t>
      </w:r>
    </w:p>
    <w:p>
      <w:pPr>
        <w:ind w:firstLine="720"/>
      </w:pPr>
      <w:r>
        <w:rPr>
          <w:i w:val="0"/>
        </w:rPr>
        <w:t>The therapeutic relationship is not simply a background atmosphere in which interventions occur. The intervention arrives through it. A question can feel curious, intrusive, admiring, or evaluative depending on the exchange. The client may be learning whether another person can hear anger, tolerate uncertainty, or accept a correction. These experiences may matter alongside the formal task, whether the treatment is experiential, behavioral, cognitive, or psychodynamic.</w:t>
      </w:r>
    </w:p>
    <w:p>
      <w:pPr>
        <w:ind w:firstLine="720"/>
      </w:pPr>
      <w:r>
        <w:rPr>
          <w:i w:val="0"/>
        </w:rPr>
        <w:t>Alliance research provides substantial support for attending to this dimension. Flückiger and colleagues' meta-analysis included 295 studies and more than 30,000 patients; the alliance-outcome association was approximately .28 (2018). This is an association, not proof that warmth alone causes improvement or that methods do not matter. Goals, tasks, and relational bond all require attention, and their relation to progress can be reciprocal.</w:t>
      </w:r>
    </w:p>
    <w:p>
      <w:pPr>
        <w:ind w:firstLine="720"/>
      </w:pPr>
      <w:r>
        <w:rPr>
          <w:i w:val="0"/>
        </w:rPr>
        <w:t>Norcross and Wampold's work on responsiveness further supports adapting treatment to the individual rather than assuming one relational stance serves everyone (2018). Some clients want explicit structure. Some need more collaboration around pace. Some experience frequent emotional checking as burdensome. A therapist can maintain a coherent treatment while negotiating its delivery. Flexibility becomes disciplined when guided by assessment, client feedback, and the treatment's actual effects.</w:t>
      </w:r>
    </w:p>
    <w:p>
      <w:pPr>
        <w:ind w:firstLine="720"/>
      </w:pPr>
      <w:r>
        <w:rPr>
          <w:i w:val="0"/>
        </w:rPr>
        <w:t>Correction should be possible in practice, not merely permitted in principle. A therapist can ask where an interpretation missed and then demonstrate interest rather than disappointment. If the client disagrees, we should not immediately interpret disagreement as defense. Sometimes we are wrong. Sometimes the question was confusing. Sometimes both people have noticed different aspects. The encounter should support investigation rather than a contest over whose account survives.</w:t>
      </w:r>
    </w:p>
    <w:p>
      <w:pPr>
        <w:ind w:firstLine="720"/>
      </w:pPr>
      <w:r>
        <w:rPr>
          <w:i w:val="0"/>
        </w:rPr>
        <w:t>For clients who expect disagreement to produce punishment, this can become meaningful relational learning. Yet we should not assume that a single successful disagreement has corrected attachment history. What we can say is more modest: in this encounter, the client expressed difference and the conversation continued. Over time, we can investigate whether that possibility becomes easier to use elsewhere and whether its benefits outweigh new difficulties.</w:t>
      </w:r>
    </w:p>
    <w:p>
      <w:pPr>
        <w:pStyle w:val="Heading2"/>
      </w:pPr>
      <w:r>
        <w:t>Repair without recruiting forgiveness</w:t>
      </w:r>
    </w:p>
    <w:p>
      <w:pPr>
        <w:ind w:firstLine="720"/>
      </w:pPr>
      <w:r>
        <w:rPr>
          <w:i w:val="0"/>
        </w:rPr>
        <w:t>We will speak too quickly, misunderstand, become distracted, or press for a preferred outcome. Rupture may appear as direct criticism, sudden agreement, avoidance of a topic, missed appointments, or a shift in the quality of participation. None of these observations identifies its cause automatically. They invite inquiry. The client may be responding to us, to another stressor, or to a practical barrier outside treatment.</w:t>
      </w:r>
    </w:p>
    <w:p>
      <w:pPr>
        <w:ind w:firstLine="720"/>
      </w:pPr>
      <w:r>
        <w:rPr>
          <w:i w:val="0"/>
        </w:rPr>
        <w:t>Eubanks, Muran, and Safran found a moderate association between rupture resolution and outcome in their meta-analysis (2018). Their separate analysis did not establish a significant overall outcome advantage for rupture-resolution training. This distinction matters: clinically appealing ideas require careful reading of the evidence. Repair deserves attention, but we should not present every training claim or proposed mechanism as settled because it fits our experience.</w:t>
      </w:r>
    </w:p>
    <w:p>
      <w:pPr>
        <w:ind w:firstLine="720"/>
      </w:pPr>
      <w:r>
        <w:rPr>
          <w:i w:val="0"/>
        </w:rPr>
        <w:t>Repair begins with identifying our contribution concretely. We might recognize that we pushed an exercise after hesitation or treated a hypothesis as a fact. A useful acknowledgment gives the client room to describe the impact. An excessive apology can reverse the burden and invite reassurance. Responsibility is demonstrated by changing the encounter, not by persuading the client that we are sufficiently remorseful.</w:t>
      </w:r>
    </w:p>
    <w:p>
      <w:pPr>
        <w:ind w:firstLine="720"/>
      </w:pPr>
      <w:r>
        <w:rPr>
          <w:i w:val="0"/>
        </w:rPr>
        <w:t>Some ruptures will not resolve quickly. Some clients will leave. Some harms require consultation, referral, or changes beyond an apology. Respecting the client includes accepting that repair does not guarantee reconciliation. The therapist's willingness to be accountable can matter even when the relationship ends. Our goal is not to preserve treatment at all costs; it is to respond responsibly to what has happened.</w:t>
      </w:r>
    </w:p>
    <w:p>
      <w:pPr>
        <w:pStyle w:val="Heading2"/>
      </w:pPr>
      <w:r>
        <w:t>Care, dependence, and the temptation to rescue</w:t>
      </w:r>
    </w:p>
    <w:p>
      <w:pPr>
        <w:ind w:firstLine="720"/>
      </w:pPr>
      <w:r>
        <w:rPr>
          <w:i w:val="0"/>
        </w:rPr>
        <w:t>Clients need more than technically correct responses. They may need to experience that another person takes their life seriously. Rogers and Yalom offer different accounts of a therapist's personal presence; Nouwen's wounded-healer tradition adds a language of humane service grounded in recognition of vulnerability (Rogers, 1961; Yalom, 2002; Nouwen, 1972). Such writing can support care without turning the therapist's emotional life into the center of treatment.</w:t>
      </w:r>
    </w:p>
    <w:p>
      <w:pPr>
        <w:ind w:firstLine="720"/>
      </w:pPr>
      <w:r>
        <w:rPr>
          <w:i w:val="0"/>
        </w:rPr>
        <w:t>Caring requires boundaries that make it sustainable and intelligible. Availability, fees, confidentiality, contact between sessions, and endings are part of the relationship. A client should not have to guess what the therapist's affection permits. Calling therapy love may describe a clinician's ethical commitment, but it can also confuse expectations. With younger therapists, I prefer to begin with behavior: reliability, respect, attention, honesty, and restraint.</w:t>
      </w:r>
    </w:p>
    <w:p>
      <w:pPr>
        <w:ind w:firstLine="720"/>
      </w:pPr>
      <w:r>
        <w:rPr>
          <w:i w:val="0"/>
        </w:rPr>
        <w:t>Dependence is not automatically pathology, and autonomy is not automatically health. A person may need assistance they cannot presently provide for themselves. Another may use helplessness to avoid a task they can begin. Often both are present. The therapist's work is to assess the situation collaboratively, support what is needed, and make responsibility appropriately shared. An ideal of total self-sufficiency can shame ordinary human need.</w:t>
      </w:r>
    </w:p>
    <w:p>
      <w:pPr>
        <w:ind w:firstLine="720"/>
      </w:pPr>
      <w:r>
        <w:rPr>
          <w:i w:val="0"/>
        </w:rPr>
        <w:t>The opposite danger is overfunctioning. We prepare more, formulate more, persuade more, and begin carrying the movement of therapy. The client's lack of engagement becomes our cue to intensify effort. Sometimes we are responding to deprivation; sometimes we are managing our own anxiety about being useful. Cozolino's account of therapist development is relevant here: learning the work includes recognizing one's participation, not merely adding conceptual knowledge (2004).</w:t>
      </w:r>
    </w:p>
    <w:p>
      <w:pPr>
        <w:ind w:firstLine="720"/>
      </w:pPr>
      <w:r>
        <w:rPr>
          <w:i w:val="0"/>
        </w:rPr>
        <w:t>Supervision should therefore ask what the therapist finds difficult to allow. Disappointment? Slow progress? A client's anger? A decision we dislike? Being misunderstood? Our intolerance may organize interventions as powerfully as the client's symptoms. The answer is neither emotional withdrawal nor unlimited responsibility. It is greater capacity to care while leaving the client room to choose, struggle, learn, and encounter consequences.</w:t>
      </w:r>
    </w:p>
    <w:p>
      <w:pPr>
        <w:pStyle w:val="Heading2"/>
      </w:pPr>
      <w:r>
        <w:t>Compassion includes accountability</w:t>
      </w:r>
    </w:p>
    <w:p>
      <w:pPr>
        <w:ind w:firstLine="720"/>
      </w:pPr>
      <w:r>
        <w:rPr>
          <w:i w:val="0"/>
        </w:rPr>
        <w:t>Understanding the protective function of harmful behavior does not make it harmless. A client may withdraw to escape shame and leave a partner carrying every difficult conversation. They may become controlling because uncertainty frightens them and still restrict another person's freedom. If we stop at developmental explanation, therapy can give someone sophisticated reasons to preserve conduct that injures others.</w:t>
      </w:r>
    </w:p>
    <w:p>
      <w:pPr>
        <w:ind w:firstLine="720"/>
      </w:pPr>
      <w:r>
        <w:rPr>
          <w:i w:val="0"/>
        </w:rPr>
        <w:t>The useful question is how to hold injury and impact together. We can explore what the person feared, identify the action they took, consider what that action meant for others, and develop an alternative. Accountability becomes more possible when it does not require declaring the whole self bad. It also becomes more credible when it includes restitution, changed behavior, and tolerance of consequences rather than insight alone.</w:t>
      </w:r>
    </w:p>
    <w:p>
      <w:pPr>
        <w:ind w:firstLine="720"/>
      </w:pPr>
      <w:r>
        <w:rPr>
          <w:i w:val="0"/>
        </w:rPr>
        <w:t>Jonathan Haidt's account of moral intuition reminds us that our judgments can be shaped before we have consciously reasoned through them (2012). This should make therapists curious about their own moral responses. We may overidentify with a hurt client or become punitive toward behavior that resembles an injury in our own life. Awareness of that tendency supports steadier judgment; it does not require suspending ethical distinctions.</w:t>
      </w:r>
    </w:p>
    <w:p>
      <w:pPr>
        <w:ind w:firstLine="720"/>
      </w:pPr>
      <w:r>
        <w:rPr>
          <w:i w:val="0"/>
        </w:rPr>
        <w:t>Freedom includes the ability to say no, and also the ability to make commitments that limit immediate preference. A person can choose to remain in a difficult conversation, provide care, or apologize because those actions express values. Therapy should expand meaningful choice rather than install freedom from obligation as its highest good. A livable self participates in relationships where responsibility is real and influence is shared.</w:t>
      </w:r>
    </w:p>
    <w:p>
      <w:pPr>
        <w:pStyle w:val="Heading2"/>
      </w:pPr>
      <w:r>
        <w:t>Do not place every problem inside the person</w:t>
      </w:r>
    </w:p>
    <w:p>
      <w:pPr>
        <w:ind w:firstLine="720"/>
      </w:pPr>
      <w:r>
        <w:rPr>
          <w:i w:val="0"/>
        </w:rPr>
        <w:t>A client may be vigilant because the environment remains dangerous. They may be exhausted because resources are inadequate. They may struggle with sensory demands, discrimination, inaccessible workplaces, chronic illness, or immigration insecurity. Internal work may help, but it cannot by itself remove these conditions. A formulation that locates every difficulty in childhood can obscure what needs to change in the present world.</w:t>
      </w:r>
    </w:p>
    <w:p>
      <w:pPr>
        <w:ind w:firstLine="720"/>
      </w:pPr>
      <w:r>
        <w:rPr>
          <w:i w:val="0"/>
        </w:rPr>
        <w:t>Gabor and Daniel Maté's cultural critique in The Myth of Normal encourages attention to the relationship between distress and social arrangements (2022). Devon Price's Unmasking Autism foregrounds experiences of difference obscured by pressure to appear acceptable (2022). These books contribute questions rather than diagnostic shortcuts. We should not infer trauma from every illness or autism from discomfort with conventional therapeutic interaction.</w:t>
      </w:r>
    </w:p>
    <w:p>
      <w:pPr>
        <w:ind w:firstLine="720"/>
      </w:pPr>
      <w:r>
        <w:rPr>
          <w:i w:val="0"/>
        </w:rPr>
        <w:t>Neurodiversity particularly challenges familiar interpretations. Difficulty initiating a task need not mean fear of success. Limited eye contact need not mean withdrawal. Direct language need not mean lack of empathy. A client may benefit more from accommodations and explicit communication than from searching for a concealed emotional cause. Assessment and consultation can help prevent the therapist's favored developmental story from absorbing every difference.</w:t>
      </w:r>
    </w:p>
    <w:p>
      <w:pPr>
        <w:ind w:firstLine="720"/>
      </w:pPr>
      <w:r>
        <w:rPr>
          <w:i w:val="0"/>
        </w:rPr>
        <w:t>Culture also affects what counts as agency. Independence may not be the client's preferred ideal. Family obligation, faith, collective identity, and reciprocal care can be sources of meaning rather than evidence of enmeshment. We can examine coercion and costs without assuming that a healthy outcome resembles our own life. Cultural humility requires letting the client's account alter our goals, not merely adding context to a predetermined destination.</w:t>
      </w:r>
    </w:p>
    <w:p>
      <w:pPr>
        <w:pStyle w:val="Heading2"/>
      </w:pPr>
      <w:r>
        <w:t>Meaning, spirituality, and what cannot be repaired</w:t>
      </w:r>
    </w:p>
    <w:p>
      <w:pPr>
        <w:ind w:firstLine="720"/>
      </w:pPr>
      <w:r>
        <w:rPr>
          <w:i w:val="0"/>
        </w:rPr>
        <w:t>Not every suffering can be resolved through emotional processing. Some losses remain losses. Some limitations require adaptation rather than removal. Yalom's existential concerns include mortality, isolation, freedom, and meaning (1980). Sartre's philosophical work raises difficult questions about freedom and responsibility (1943/1956). Such perspectives can help therapists remain with realities that do not yield to a reassuring formulation or a successful exercise.</w:t>
      </w:r>
    </w:p>
    <w:p>
      <w:pPr>
        <w:ind w:firstLine="720"/>
      </w:pPr>
      <w:r>
        <w:rPr>
          <w:i w:val="0"/>
        </w:rPr>
        <w:t>Welwood's integration of contemplative and psychological inquiry warns against using spiritual understanding to bypass unfinished human difficulties (2000). A person may speak fluently about acceptance while unable to express anger or ask for care. The opposite error also occurs: a therapist may reduce every spiritual experience to defense and miss a genuine source of meaning. Inquiry should make room for both possibilities without deciding prematurely.</w:t>
      </w:r>
    </w:p>
    <w:p>
      <w:pPr>
        <w:ind w:firstLine="720"/>
      </w:pPr>
      <w:r>
        <w:rPr>
          <w:i w:val="0"/>
        </w:rPr>
        <w:t>Gerald May and Thomas Moore offer reflective languages for attachment, longing, mystery, and the life of the soul (May, 1988; Moore, 1992). Buber's philosophy of encounter adds an ethical reminder that a person exceeds our categories (1923/1970). These are contemplative and philosophical resources, not evidence that a particular intervention is effective. Their place is to deepen attention while leaving empirical claims answerable to research.</w:t>
      </w:r>
    </w:p>
    <w:p>
      <w:pPr>
        <w:ind w:firstLine="720"/>
      </w:pPr>
      <w:r>
        <w:rPr>
          <w:i w:val="0"/>
        </w:rPr>
        <w:t>If a client brings a prayer, image, or spiritual figure, we can ask what it means and whether it helps. We need not interpret it as proof of a metaphysical reality or dismiss it as fantasy. The therapist's beliefs should not become the price of receiving care. Meaning is best explored in language the client can recognize as their own, including the language of doubt or unbelief.</w:t>
      </w:r>
    </w:p>
    <w:p>
      <w:pPr>
        <w:pStyle w:val="Heading2"/>
      </w:pPr>
      <w:r>
        <w:t>Help experience become usable</w:t>
      </w:r>
    </w:p>
    <w:p>
      <w:pPr>
        <w:ind w:firstLine="720"/>
      </w:pPr>
      <w:r>
        <w:rPr>
          <w:i w:val="0"/>
        </w:rPr>
        <w:t>A meaningful session does not necessarily become a changed life. The client may remember only the anxiety around a new action, lose access to relief, or discover that the alternative was harder to use outside treatment. Review helps us learn what carried forward and what did not. It should be curious enough to detect disappointment, worsening, and an exercise that was forgotten because it was not useful.</w:t>
      </w:r>
    </w:p>
    <w:p>
      <w:pPr>
        <w:ind w:firstLine="720"/>
      </w:pPr>
      <w:r>
        <w:rPr>
          <w:i w:val="0"/>
        </w:rPr>
        <w:t>We can ask about one specific moment since the previous meeting. What happened? What did the person notice? Was a different response available? What were its consequences? Such inquiry links the session to observable life. It can also correct our enthusiasm: what felt transformative to the therapist may have mattered little to the client. This information is essential feedback, not an insult to the work.</w:t>
      </w:r>
    </w:p>
    <w:p>
      <w:pPr>
        <w:ind w:firstLine="720"/>
      </w:pPr>
      <w:r>
        <w:rPr>
          <w:i w:val="0"/>
        </w:rPr>
        <w:t>Brief summaries, client-generated phrases, practice plans, and outcome measures can support review. They should not overwrite the person's account or suggest that progress must follow the therapist's narrative. If notes are shared, accuracy, consent, privacy, and the possibility of correction matter. A client may prefer a practical reminder over an interpretive letter. The form should serve their use, not the clinician's wish to produce an elegant account.</w:t>
      </w:r>
    </w:p>
    <w:p>
      <w:pPr>
        <w:ind w:firstLine="720"/>
      </w:pPr>
      <w:r>
        <w:rPr>
          <w:i w:val="0"/>
        </w:rPr>
        <w:t>Action is often necessary. Exposure, rehearsal, problem-solving, communication practice, and behavioral structure can translate experience into capacity. Sometimes the person instead needs rest or time to let an encounter settle. The question is what serves the agreed treatment goal now. No required next step should mean freedom from compulsory productivity, not indefinite avoidance of the behavior through which the client's life could improve.</w:t>
      </w:r>
    </w:p>
    <w:p>
      <w:pPr>
        <w:ind w:firstLine="720"/>
      </w:pPr>
      <w:r>
        <w:rPr>
          <w:i w:val="0"/>
        </w:rPr>
        <w:t>Memory reconsolidation is sometimes invoked to explain lasting change. A review of a meaningful experience does not establish that such a process occurred. More modest language is sufficient: we are helping the client remember, evaluate, and practice a different possibility. Whether it persists should be investigated over time. Precision protects a promising clinical practice from being burdened with a mechanism we cannot verify.</w:t>
      </w:r>
    </w:p>
    <w:p>
      <w:pPr>
        <w:pStyle w:val="Heading2"/>
      </w:pPr>
      <w:r>
        <w:t>Know when another kind of help is needed</w:t>
      </w:r>
    </w:p>
    <w:p>
      <w:pPr>
        <w:ind w:firstLine="720"/>
      </w:pPr>
      <w:r>
        <w:rPr>
          <w:i w:val="0"/>
        </w:rPr>
        <w:t>An experiential formulation becomes more credible when it can recognize its limits. A client with compulsive checking may understand the need for certainty and still require carefully planned exposure and response prevention. A person with severe depression may need medical assessment, behavioral activation, and closer monitoring of safety. Someone experiencing coercive control may need practical protection before exploration of relational patterns. The relationship supports these interventions; it does not substitute for them.</w:t>
      </w:r>
    </w:p>
    <w:p>
      <w:pPr>
        <w:ind w:firstLine="720"/>
      </w:pPr>
      <w:r>
        <w:rPr>
          <w:i w:val="0"/>
        </w:rPr>
        <w:t>Consider a fictional client who fears sending ordinary work emails. We might discover that mistakes evoke humiliation, explore the experience without overwhelming the person, and develop a more compassionate stance toward difficulty. But the decisive learning may require sending an email without repeated checking and observing what follows. If therapy only makes the fear understandable, the avoidance may remain intact. If it demands exposure without collaboration, the client may experience the treatment as another humiliating test. Integration asks how understanding and practice can make each other more usable.</w:t>
      </w:r>
    </w:p>
    <w:p>
      <w:pPr>
        <w:ind w:firstLine="720"/>
      </w:pPr>
      <w:r>
        <w:rPr>
          <w:i w:val="0"/>
        </w:rPr>
        <w:t>Treatment selection therefore needs questions beyond whether an intervention fits our philosophy. What problem are we treating? What evidence supports this approach? What does the client prefer? What have previous attempts shown? What resources and accommodations are necessary? When should we consult, refer, or coordinate care? These questions keep a humane account of change connected to professional competence. Responsiveness includes recognizing that another clinician may offer expertise we do not possess.</w:t>
      </w:r>
    </w:p>
    <w:p>
      <w:pPr>
        <w:ind w:firstLine="720"/>
      </w:pPr>
      <w:r>
        <w:rPr>
          <w:i w:val="0"/>
        </w:rPr>
        <w:t>The same discipline applies to theoretical disagreement. Searle's philosophical account of consciousness (1997), for example, does not become interchangeable with Damasio's neurobiological investigations simply because both concern subjective experience. Neither establishes a particular psychotherapy mechanism. Likewise, a family systems explanation and an intrapsychic parts explanation may illuminate different features of a problem without confirming each other's assumptions. An integrated therapist can use multiple perspectives while naming the level at which each claim is being made.</w:t>
      </w:r>
    </w:p>
    <w:p>
      <w:pPr>
        <w:ind w:firstLine="720"/>
      </w:pPr>
      <w:r>
        <w:rPr>
          <w:i w:val="0"/>
        </w:rPr>
        <w:t>Siegel's account of the mindful therapist also directs attention toward the clinician's own capacity for presence (2010). This can be translated into an ordinary supervisory question: What happens to my attention when I feel pressure to produce a result? The answer may reveal a hurried interpretation, an unwanted exercise, or an inability to hear refusal. Cultivating attention is useful when it changes these behaviors, not when it becomes another claim to special therapeutic insight.</w:t>
      </w:r>
    </w:p>
    <w:p>
      <w:pPr>
        <w:ind w:firstLine="720"/>
      </w:pPr>
      <w:r>
        <w:rPr>
          <w:i w:val="0"/>
        </w:rPr>
        <w:t>There is no need to settle every philosophical disagreement before helping someone. There is a need to avoid treating metaphor as anatomy, an evocative encounter as an outcome study, or professional conviction as the client's consent. Intellectual breadth should increase discrimination. Its practical promise is a therapist who can change course without losing interest, competence, or respect for the person whose treatment is at stake.</w:t>
      </w:r>
    </w:p>
    <w:p>
      <w:pPr>
        <w:pStyle w:val="Heading2"/>
      </w:pPr>
      <w:r>
        <w:t>A discipline for the developing therapist</w:t>
      </w:r>
    </w:p>
    <w:p>
      <w:pPr>
        <w:ind w:firstLine="720"/>
      </w:pPr>
      <w:r>
        <w:rPr>
          <w:i w:val="0"/>
        </w:rPr>
        <w:t>The sequence proposed here can guide attention without becoming a script. Understand what is happening and its context. Explore function without presuming origin. Offer manageable contact with experience. Notice how the relationship participates. Investigate new capacities and the responses they evoke. Help the client use what matters in daily life. Return to assessment whenever the formulation stops explaining the evidence.</w:t>
      </w:r>
    </w:p>
    <w:p>
      <w:pPr>
        <w:ind w:firstLine="720"/>
      </w:pPr>
      <w:r>
        <w:rPr>
          <w:i w:val="0"/>
        </w:rPr>
        <w:t>Its pressure test is practical. Can the client disagree? Can they influence the pace? Does the work increase available choices, responsibility, or functioning? Are we noticing both benefit and harm? Does our explanation acknowledge material circumstances and difference? Are we providing the treatment the client needs, or the encounter we most enjoy conducting? These questions are more useful than asking whether a session looked sufficiently deep.</w:t>
      </w:r>
    </w:p>
    <w:p>
      <w:pPr>
        <w:ind w:firstLine="720"/>
      </w:pPr>
      <w:r>
        <w:rPr>
          <w:i w:val="0"/>
        </w:rPr>
        <w:t>Study models carefully. Learn diagnostic assessment, risk evaluation, treatment planning, and the evidence for the problems you treat. Seek supervision that can challenge your preferred story. Practice specific skills until they become dependable. Then allow that knowledge to support attention rather than occupy all of it. A therapist needs enough internal room to discover that the person before them does not fit the case they expected.</w:t>
      </w:r>
    </w:p>
    <w:p>
      <w:pPr>
        <w:ind w:firstLine="720"/>
      </w:pPr>
      <w:r>
        <w:rPr>
          <w:i w:val="0"/>
        </w:rPr>
        <w:t>What really matters is not reducible to warmth, insight, intensity, or a favored method. It involves the disciplined creation of conditions in which a person can encounter experience with more participation and less compulsion. Sometimes that looks like grief. Sometimes a clearer boundary, a tolerable dependence, a repaired harm, a practical accommodation, or a commitment kept. Its value becomes visible in the life the person can increasingly live. That requires attention to what the client actually does, what improves, and what remains difficult over time.</w:t>
      </w:r>
    </w:p>
    <w:p>
      <w:pPr>
        <w:ind w:firstLine="720"/>
      </w:pPr>
      <w:r>
        <w:rPr>
          <w:i w:val="0"/>
        </w:rPr>
        <w:t>For the young therapist, this offers neither a shortcut nor a demand for exceptional presence. It offers a direction of development: become more knowledgeable, more accountable, and more capable of being corrected. Meet the person before moving them. Help them discover what can change, acknowledge what cannot, and remain the author of a life that includes other people. That is work worth learning slowly.</w:t>
      </w:r>
    </w:p>
    <w:p>
      <w:r>
        <w:br w:type="page"/>
      </w:r>
    </w:p>
    <w:p>
      <w:pPr>
        <w:pStyle w:val="Heading1"/>
      </w:pPr>
      <w:r>
        <w:t>References</w:t>
      </w:r>
    </w:p>
    <w:p>
      <w:pPr>
        <w:ind w:left="720" w:hanging="720"/>
      </w:pPr>
      <w:r>
        <w:rPr>
          <w:i w:val="0"/>
        </w:rPr>
        <w:t xml:space="preserve">Assagioli, R. (1965). </w:t>
      </w:r>
      <w:r>
        <w:rPr>
          <w:i/>
        </w:rPr>
        <w:t>Psychosynthesis: A manual of principles and techniques</w:t>
      </w:r>
      <w:r>
        <w:rPr>
          <w:i w:val="0"/>
        </w:rPr>
        <w:t>. Hobbs, Dorman.</w:t>
      </w:r>
    </w:p>
    <w:p>
      <w:pPr>
        <w:ind w:left="720" w:hanging="720"/>
      </w:pPr>
      <w:r>
        <w:rPr>
          <w:i w:val="0"/>
        </w:rPr>
        <w:t xml:space="preserve">Bowlby, J. (1988). </w:t>
      </w:r>
      <w:r>
        <w:rPr>
          <w:i/>
        </w:rPr>
        <w:t>A secure base: Parent-child attachment and healthy human development</w:t>
      </w:r>
      <w:r>
        <w:rPr>
          <w:i w:val="0"/>
        </w:rPr>
        <w:t>. Basic Books.</w:t>
      </w:r>
    </w:p>
    <w:p>
      <w:pPr>
        <w:ind w:left="720" w:hanging="720"/>
      </w:pPr>
      <w:r>
        <w:rPr>
          <w:i w:val="0"/>
        </w:rPr>
        <w:t xml:space="preserve">Bowen, M. (1978). </w:t>
      </w:r>
      <w:r>
        <w:rPr>
          <w:i/>
        </w:rPr>
        <w:t>Family therapy in clinical practice</w:t>
      </w:r>
      <w:r>
        <w:rPr>
          <w:i w:val="0"/>
        </w:rPr>
        <w:t>. Jason Aronson.</w:t>
      </w:r>
    </w:p>
    <w:p>
      <w:pPr>
        <w:ind w:left="720" w:hanging="720"/>
      </w:pPr>
      <w:r>
        <w:rPr>
          <w:i w:val="0"/>
        </w:rPr>
        <w:t xml:space="preserve">Buber, M. (1970). </w:t>
      </w:r>
      <w:r>
        <w:rPr>
          <w:i/>
        </w:rPr>
        <w:t>I and Thou</w:t>
      </w:r>
      <w:r>
        <w:rPr>
          <w:i w:val="0"/>
        </w:rPr>
        <w:t xml:space="preserve"> (W. Kaufmann, Trans.). Charles Scribner's Sons. (Original work published 1923)</w:t>
      </w:r>
    </w:p>
    <w:p>
      <w:pPr>
        <w:ind w:left="720" w:hanging="720"/>
      </w:pPr>
      <w:r>
        <w:rPr>
          <w:i w:val="0"/>
        </w:rPr>
        <w:t xml:space="preserve">Cozolino, L. (2004). </w:t>
      </w:r>
      <w:r>
        <w:rPr>
          <w:i/>
        </w:rPr>
        <w:t>The making of a therapist: A practical guide for the inner journey</w:t>
      </w:r>
      <w:r>
        <w:rPr>
          <w:i w:val="0"/>
        </w:rPr>
        <w:t>. W. W. Norton.</w:t>
      </w:r>
    </w:p>
    <w:p>
      <w:pPr>
        <w:ind w:left="720" w:hanging="720"/>
      </w:pPr>
      <w:r>
        <w:rPr>
          <w:i w:val="0"/>
        </w:rPr>
        <w:t xml:space="preserve">Damasio, A. R. (1994). </w:t>
      </w:r>
      <w:r>
        <w:rPr>
          <w:i/>
        </w:rPr>
        <w:t>Descartes' error: Emotion, reason, and the human brain</w:t>
      </w:r>
      <w:r>
        <w:rPr>
          <w:i w:val="0"/>
        </w:rPr>
        <w:t>. G. P. Putnam's Sons.</w:t>
      </w:r>
    </w:p>
    <w:p>
      <w:pPr>
        <w:ind w:left="720" w:hanging="720"/>
      </w:pPr>
      <w:r>
        <w:rPr>
          <w:i w:val="0"/>
        </w:rPr>
        <w:t xml:space="preserve">Eubanks, C. F., Muran, J. C., &amp; Safran, J. D. (2018). Alliance rupture repair: A meta-analysis. </w:t>
      </w:r>
      <w:r>
        <w:rPr>
          <w:i/>
        </w:rPr>
        <w:t>Psychotherapy, 55</w:t>
      </w:r>
      <w:r>
        <w:rPr>
          <w:i w:val="0"/>
        </w:rPr>
        <w:t>(4), 508–519. https://doi.org/10.1037/pst0000185</w:t>
      </w:r>
    </w:p>
    <w:p>
      <w:pPr>
        <w:ind w:left="720" w:hanging="720"/>
      </w:pPr>
      <w:r>
        <w:rPr>
          <w:i w:val="0"/>
        </w:rPr>
        <w:t xml:space="preserve">Flückiger, C., Del Re, A. C., Wampold, B. E., &amp; Horvath, A. O. (2018). The alliance in adult psychotherapy: A meta-analytic synthesis. </w:t>
      </w:r>
      <w:r>
        <w:rPr>
          <w:i/>
        </w:rPr>
        <w:t>Psychotherapy, 55</w:t>
      </w:r>
      <w:r>
        <w:rPr>
          <w:i w:val="0"/>
        </w:rPr>
        <w:t>(4), 316–340. https://doi.org/10.1037/pst0000172</w:t>
      </w:r>
    </w:p>
    <w:p>
      <w:pPr>
        <w:ind w:left="720" w:hanging="720"/>
      </w:pPr>
      <w:r>
        <w:rPr>
          <w:i w:val="0"/>
        </w:rPr>
        <w:t xml:space="preserve">Fosha, D. (2000a). </w:t>
      </w:r>
      <w:r>
        <w:rPr>
          <w:i/>
        </w:rPr>
        <w:t>The transforming power of affect: A model for accelerated change</w:t>
      </w:r>
      <w:r>
        <w:rPr>
          <w:i w:val="0"/>
        </w:rPr>
        <w:t>. Basic Books.</w:t>
      </w:r>
    </w:p>
    <w:p>
      <w:pPr>
        <w:ind w:left="720" w:hanging="720"/>
      </w:pPr>
      <w:r>
        <w:rPr>
          <w:i w:val="0"/>
        </w:rPr>
        <w:t xml:space="preserve">Fosha, D. (2000b). Meta-therapeutic processes and the affects of transformation: Affirmation and the healing affects. </w:t>
      </w:r>
      <w:r>
        <w:rPr>
          <w:i/>
        </w:rPr>
        <w:t>Journal of Psychotherapy Integration, 10</w:t>
      </w:r>
      <w:r>
        <w:rPr>
          <w:i w:val="0"/>
        </w:rPr>
        <w:t>(1), 71–97. https://doi.org/10.1023/A:1009422511959</w:t>
      </w:r>
    </w:p>
    <w:p>
      <w:pPr>
        <w:ind w:left="720" w:hanging="720"/>
      </w:pPr>
      <w:r>
        <w:rPr>
          <w:i w:val="0"/>
        </w:rPr>
        <w:t xml:space="preserve">Fosha, D. (2009). Positive affects and the transformation of suffering into flourishing. </w:t>
      </w:r>
      <w:r>
        <w:rPr>
          <w:i/>
        </w:rPr>
        <w:t>Annals of the New York Academy of Sciences, 1172</w:t>
      </w:r>
      <w:r>
        <w:rPr>
          <w:i w:val="0"/>
        </w:rPr>
        <w:t>, 252–262. https://doi.org/10.1111/j.1749-6632.2009.04501.x</w:t>
      </w:r>
    </w:p>
    <w:p>
      <w:pPr>
        <w:ind w:left="720" w:hanging="720"/>
      </w:pPr>
      <w:r>
        <w:rPr>
          <w:i w:val="0"/>
        </w:rPr>
        <w:t xml:space="preserve">Gendlin, E. T. (1996). </w:t>
      </w:r>
      <w:r>
        <w:rPr>
          <w:i/>
        </w:rPr>
        <w:t>Focusing-oriented psychotherapy: A manual of the experiential method</w:t>
      </w:r>
      <w:r>
        <w:rPr>
          <w:i w:val="0"/>
        </w:rPr>
        <w:t>. Guilford Press.</w:t>
      </w:r>
    </w:p>
    <w:p>
      <w:pPr>
        <w:ind w:left="720" w:hanging="720"/>
      </w:pPr>
      <w:r>
        <w:rPr>
          <w:i w:val="0"/>
        </w:rPr>
        <w:t xml:space="preserve">Haidt, J. (2012). </w:t>
      </w:r>
      <w:r>
        <w:rPr>
          <w:i/>
        </w:rPr>
        <w:t>The righteous mind: Why good people are divided by politics and religion</w:t>
      </w:r>
      <w:r>
        <w:rPr>
          <w:i w:val="0"/>
        </w:rPr>
        <w:t>. Pantheon Books.</w:t>
      </w:r>
    </w:p>
    <w:p>
      <w:pPr>
        <w:ind w:left="720" w:hanging="720"/>
      </w:pPr>
      <w:r>
        <w:rPr>
          <w:i w:val="0"/>
        </w:rPr>
        <w:t xml:space="preserve">Johnson, S. M. (2019). </w:t>
      </w:r>
      <w:r>
        <w:rPr>
          <w:i/>
        </w:rPr>
        <w:t>Attachment theory in practice: Emotionally focused therapy (EFT) with individuals, couples, and families</w:t>
      </w:r>
      <w:r>
        <w:rPr>
          <w:i w:val="0"/>
        </w:rPr>
        <w:t>. Guilford Press.</w:t>
      </w:r>
    </w:p>
    <w:p>
      <w:pPr>
        <w:ind w:left="720" w:hanging="720"/>
      </w:pPr>
      <w:r>
        <w:rPr>
          <w:i w:val="0"/>
        </w:rPr>
        <w:t xml:space="preserve">Jung, C. G. (1966). </w:t>
      </w:r>
      <w:r>
        <w:rPr>
          <w:i/>
        </w:rPr>
        <w:t>Two essays on analytical psychology</w:t>
      </w:r>
      <w:r>
        <w:rPr>
          <w:i w:val="0"/>
        </w:rPr>
        <w:t xml:space="preserve"> (R. F. C. Hull, Trans.; 2nd ed.). Princeton University Press.</w:t>
      </w:r>
    </w:p>
    <w:p>
      <w:pPr>
        <w:ind w:left="720" w:hanging="720"/>
      </w:pPr>
      <w:r>
        <w:rPr>
          <w:i w:val="0"/>
        </w:rPr>
        <w:t xml:space="preserve">Kurtz, R. (1990). </w:t>
      </w:r>
      <w:r>
        <w:rPr>
          <w:i/>
        </w:rPr>
        <w:t>Body-centered psychotherapy: The Hakomi method</w:t>
      </w:r>
      <w:r>
        <w:rPr>
          <w:i w:val="0"/>
        </w:rPr>
        <w:t>. LifeRhythm.</w:t>
      </w:r>
    </w:p>
    <w:p>
      <w:pPr>
        <w:ind w:left="720" w:hanging="720"/>
      </w:pPr>
      <w:r>
        <w:rPr>
          <w:i w:val="0"/>
        </w:rPr>
        <w:t xml:space="preserve">Levine, P. A. (1997). </w:t>
      </w:r>
      <w:r>
        <w:rPr>
          <w:i/>
        </w:rPr>
        <w:t>Waking the tiger: Healing trauma</w:t>
      </w:r>
      <w:r>
        <w:rPr>
          <w:i w:val="0"/>
        </w:rPr>
        <w:t>. North Atlantic Books.</w:t>
      </w:r>
    </w:p>
    <w:p>
      <w:pPr>
        <w:ind w:left="720" w:hanging="720"/>
      </w:pPr>
      <w:r>
        <w:rPr>
          <w:i w:val="0"/>
        </w:rPr>
        <w:t xml:space="preserve">Maté, G., &amp; Maté, D. (2022). </w:t>
      </w:r>
      <w:r>
        <w:rPr>
          <w:i/>
        </w:rPr>
        <w:t>The myth of normal: Trauma, illness, and healing in a toxic culture</w:t>
      </w:r>
      <w:r>
        <w:rPr>
          <w:i w:val="0"/>
        </w:rPr>
        <w:t>. Avery.</w:t>
      </w:r>
    </w:p>
    <w:p>
      <w:pPr>
        <w:ind w:left="720" w:hanging="720"/>
      </w:pPr>
      <w:r>
        <w:rPr>
          <w:i w:val="0"/>
        </w:rPr>
        <w:t xml:space="preserve">May, G. G. (1988). </w:t>
      </w:r>
      <w:r>
        <w:rPr>
          <w:i/>
        </w:rPr>
        <w:t>Addiction and grace: Love and spirituality in the healing of addictions</w:t>
      </w:r>
      <w:r>
        <w:rPr>
          <w:i w:val="0"/>
        </w:rPr>
        <w:t>. Harper &amp; Row.</w:t>
      </w:r>
    </w:p>
    <w:p>
      <w:pPr>
        <w:ind w:left="720" w:hanging="720"/>
      </w:pPr>
      <w:r>
        <w:rPr>
          <w:i w:val="0"/>
        </w:rPr>
        <w:t xml:space="preserve">Moore, T. (1992). </w:t>
      </w:r>
      <w:r>
        <w:rPr>
          <w:i/>
        </w:rPr>
        <w:t>Care of the soul: A guide for cultivating depth and sacredness in everyday life</w:t>
      </w:r>
      <w:r>
        <w:rPr>
          <w:i w:val="0"/>
        </w:rPr>
        <w:t>. HarperCollins.</w:t>
      </w:r>
    </w:p>
    <w:p>
      <w:pPr>
        <w:ind w:left="720" w:hanging="720"/>
      </w:pPr>
      <w:r>
        <w:rPr>
          <w:i w:val="0"/>
        </w:rPr>
        <w:t xml:space="preserve">Norcross, J. C., &amp; Wampold, B. E. (2018). A new therapy for each patient: Evidence-based relationships and responsiveness. </w:t>
      </w:r>
      <w:r>
        <w:rPr>
          <w:i/>
        </w:rPr>
        <w:t>Journal of Clinical Psychology, 74</w:t>
      </w:r>
      <w:r>
        <w:rPr>
          <w:i w:val="0"/>
        </w:rPr>
        <w:t>(11), 1889–1906. https://doi.org/10.1002/jclp.22678</w:t>
      </w:r>
    </w:p>
    <w:p>
      <w:pPr>
        <w:ind w:left="720" w:hanging="720"/>
      </w:pPr>
      <w:r>
        <w:rPr>
          <w:i w:val="0"/>
        </w:rPr>
        <w:t xml:space="preserve">Nouwen, H. J. M. (1972). </w:t>
      </w:r>
      <w:r>
        <w:rPr>
          <w:i/>
        </w:rPr>
        <w:t>The wounded healer: Ministry in contemporary society</w:t>
      </w:r>
      <w:r>
        <w:rPr>
          <w:i w:val="0"/>
        </w:rPr>
        <w:t>. Doubleday.</w:t>
      </w:r>
    </w:p>
    <w:p>
      <w:pPr>
        <w:ind w:left="720" w:hanging="720"/>
      </w:pPr>
      <w:r>
        <w:rPr>
          <w:i w:val="0"/>
        </w:rPr>
        <w:t xml:space="preserve">Ogden, P., Minton, K., &amp; Pain, C. (2006). </w:t>
      </w:r>
      <w:r>
        <w:rPr>
          <w:i/>
        </w:rPr>
        <w:t>Trauma and the body: A sensorimotor approach to psychotherapy</w:t>
      </w:r>
      <w:r>
        <w:rPr>
          <w:i w:val="0"/>
        </w:rPr>
        <w:t>. W. W. Norton.</w:t>
      </w:r>
    </w:p>
    <w:p>
      <w:pPr>
        <w:ind w:left="720" w:hanging="720"/>
      </w:pPr>
      <w:r>
        <w:rPr>
          <w:i w:val="0"/>
        </w:rPr>
        <w:t xml:space="preserve">Price, D. (2022). </w:t>
      </w:r>
      <w:r>
        <w:rPr>
          <w:i/>
        </w:rPr>
        <w:t>Unmasking autism: Discovering the new faces of neurodiversity</w:t>
      </w:r>
      <w:r>
        <w:rPr>
          <w:i w:val="0"/>
        </w:rPr>
        <w:t>. Harmony Books.</w:t>
      </w:r>
    </w:p>
    <w:p>
      <w:pPr>
        <w:ind w:left="720" w:hanging="720"/>
      </w:pPr>
      <w:r>
        <w:rPr>
          <w:i w:val="0"/>
        </w:rPr>
        <w:t xml:space="preserve">Rogers, C. R. (1957). The necessary and sufficient conditions of therapeutic personality change. </w:t>
      </w:r>
      <w:r>
        <w:rPr>
          <w:i/>
        </w:rPr>
        <w:t>Journal of Consulting Psychology, 21</w:t>
      </w:r>
      <w:r>
        <w:rPr>
          <w:i w:val="0"/>
        </w:rPr>
        <w:t>(2), 95–103. https://doi.org/10.1037/h0045357</w:t>
      </w:r>
    </w:p>
    <w:p>
      <w:pPr>
        <w:ind w:left="720" w:hanging="720"/>
      </w:pPr>
      <w:r>
        <w:rPr>
          <w:i w:val="0"/>
        </w:rPr>
        <w:t xml:space="preserve">Rogers, C. R. (1961). </w:t>
      </w:r>
      <w:r>
        <w:rPr>
          <w:i/>
        </w:rPr>
        <w:t>On becoming a person: A therapist's view of psychotherapy</w:t>
      </w:r>
      <w:r>
        <w:rPr>
          <w:i w:val="0"/>
        </w:rPr>
        <w:t>. Houghton Mifflin.</w:t>
      </w:r>
    </w:p>
    <w:p>
      <w:pPr>
        <w:ind w:left="720" w:hanging="720"/>
      </w:pPr>
      <w:r>
        <w:rPr>
          <w:i w:val="0"/>
        </w:rPr>
        <w:t xml:space="preserve">Rothschild, B. (2000). </w:t>
      </w:r>
      <w:r>
        <w:rPr>
          <w:i/>
        </w:rPr>
        <w:t>The body remembers: The psychophysiology of trauma and trauma treatment</w:t>
      </w:r>
      <w:r>
        <w:rPr>
          <w:i w:val="0"/>
        </w:rPr>
        <w:t>. W. W. Norton.</w:t>
      </w:r>
    </w:p>
    <w:p>
      <w:pPr>
        <w:ind w:left="720" w:hanging="720"/>
      </w:pPr>
      <w:r>
        <w:rPr>
          <w:i w:val="0"/>
        </w:rPr>
        <w:t xml:space="preserve">Sartre, J.-P. (1956). </w:t>
      </w:r>
      <w:r>
        <w:rPr>
          <w:i/>
        </w:rPr>
        <w:t>Being and nothingness</w:t>
      </w:r>
      <w:r>
        <w:rPr>
          <w:i w:val="0"/>
        </w:rPr>
        <w:t xml:space="preserve"> (H. E. Barnes, Trans.). Philosophical Library. (Original work published 1943)</w:t>
      </w:r>
    </w:p>
    <w:p>
      <w:pPr>
        <w:ind w:left="720" w:hanging="720"/>
      </w:pPr>
      <w:r>
        <w:rPr>
          <w:i w:val="0"/>
        </w:rPr>
        <w:t xml:space="preserve">Satir, V., Banmen, J., Gerber, J., &amp; Gomori, M. (1991). </w:t>
      </w:r>
      <w:r>
        <w:rPr>
          <w:i/>
        </w:rPr>
        <w:t>The Satir model: Family therapy and beyond</w:t>
      </w:r>
      <w:r>
        <w:rPr>
          <w:i w:val="0"/>
        </w:rPr>
        <w:t>. Science and Behavior Books.</w:t>
      </w:r>
    </w:p>
    <w:p>
      <w:pPr>
        <w:ind w:left="720" w:hanging="720"/>
      </w:pPr>
      <w:r>
        <w:rPr>
          <w:i w:val="0"/>
        </w:rPr>
        <w:t xml:space="preserve">Schore, A. N. (2012). </w:t>
      </w:r>
      <w:r>
        <w:rPr>
          <w:i/>
        </w:rPr>
        <w:t>The science of the art of psychotherapy</w:t>
      </w:r>
      <w:r>
        <w:rPr>
          <w:i w:val="0"/>
        </w:rPr>
        <w:t>. W. W. Norton.</w:t>
      </w:r>
    </w:p>
    <w:p>
      <w:pPr>
        <w:ind w:left="720" w:hanging="720"/>
      </w:pPr>
      <w:r>
        <w:rPr>
          <w:i w:val="0"/>
        </w:rPr>
        <w:t xml:space="preserve">Schwartz, R. C., &amp; Sweezy, M. (2020). </w:t>
      </w:r>
      <w:r>
        <w:rPr>
          <w:i/>
        </w:rPr>
        <w:t>Internal family systems therapy</w:t>
      </w:r>
      <w:r>
        <w:rPr>
          <w:i w:val="0"/>
        </w:rPr>
        <w:t xml:space="preserve"> (2nd ed.). Guilford Press.</w:t>
      </w:r>
    </w:p>
    <w:p>
      <w:pPr>
        <w:ind w:left="720" w:hanging="720"/>
      </w:pPr>
      <w:r>
        <w:rPr>
          <w:i w:val="0"/>
        </w:rPr>
        <w:t xml:space="preserve">Searle, J. R. (1997). </w:t>
      </w:r>
      <w:r>
        <w:rPr>
          <w:i/>
        </w:rPr>
        <w:t>The mystery of consciousness</w:t>
      </w:r>
      <w:r>
        <w:rPr>
          <w:i w:val="0"/>
        </w:rPr>
        <w:t>. New York Review Books.</w:t>
      </w:r>
    </w:p>
    <w:p>
      <w:pPr>
        <w:ind w:left="720" w:hanging="720"/>
      </w:pPr>
      <w:r>
        <w:rPr>
          <w:i w:val="0"/>
        </w:rPr>
        <w:t xml:space="preserve">Siegel, D. J. (2010). </w:t>
      </w:r>
      <w:r>
        <w:rPr>
          <w:i/>
        </w:rPr>
        <w:t>The mindful therapist: A clinician's guide to mindsight and neural integration</w:t>
      </w:r>
      <w:r>
        <w:rPr>
          <w:i w:val="0"/>
        </w:rPr>
        <w:t>. W. W. Norton.</w:t>
      </w:r>
    </w:p>
    <w:p>
      <w:pPr>
        <w:ind w:left="720" w:hanging="720"/>
      </w:pPr>
      <w:r>
        <w:rPr>
          <w:i w:val="0"/>
        </w:rPr>
        <w:t xml:space="preserve">Siegel, D. J. (2020). </w:t>
      </w:r>
      <w:r>
        <w:rPr>
          <w:i/>
        </w:rPr>
        <w:t>The developing mind: How relationships and the brain interact to shape who we are</w:t>
      </w:r>
      <w:r>
        <w:rPr>
          <w:i w:val="0"/>
        </w:rPr>
        <w:t xml:space="preserve"> (3rd ed.). Guilford Press.</w:t>
      </w:r>
    </w:p>
    <w:p>
      <w:pPr>
        <w:ind w:left="720" w:hanging="720"/>
      </w:pPr>
      <w:r>
        <w:rPr>
          <w:i w:val="0"/>
        </w:rPr>
        <w:t xml:space="preserve">Stone, H., &amp; Stone, S. (1989). </w:t>
      </w:r>
      <w:r>
        <w:rPr>
          <w:i/>
        </w:rPr>
        <w:t>Embracing our selves: The Voice Dialogue manual</w:t>
      </w:r>
      <w:r>
        <w:rPr>
          <w:i w:val="0"/>
        </w:rPr>
        <w:t>. Nataraj Publishing.</w:t>
      </w:r>
    </w:p>
    <w:p>
      <w:pPr>
        <w:ind w:left="720" w:hanging="720"/>
      </w:pPr>
      <w:r>
        <w:rPr>
          <w:i w:val="0"/>
        </w:rPr>
        <w:t xml:space="preserve">van der Kolk, B. A. (2014). </w:t>
      </w:r>
      <w:r>
        <w:rPr>
          <w:i/>
        </w:rPr>
        <w:t>The body keeps the score: Brain, mind, and body in the healing of trauma</w:t>
      </w:r>
      <w:r>
        <w:rPr>
          <w:i w:val="0"/>
        </w:rPr>
        <w:t>. Viking.</w:t>
      </w:r>
    </w:p>
    <w:p>
      <w:pPr>
        <w:ind w:left="720" w:hanging="720"/>
      </w:pPr>
      <w:r>
        <w:rPr>
          <w:i w:val="0"/>
        </w:rPr>
        <w:t xml:space="preserve">Watkins, J. G., &amp; Watkins, H. H. (1997). </w:t>
      </w:r>
      <w:r>
        <w:rPr>
          <w:i/>
        </w:rPr>
        <w:t>Ego states: Theory and therapy</w:t>
      </w:r>
      <w:r>
        <w:rPr>
          <w:i w:val="0"/>
        </w:rPr>
        <w:t>. W. W. Norton.</w:t>
      </w:r>
    </w:p>
    <w:p>
      <w:pPr>
        <w:ind w:left="720" w:hanging="720"/>
      </w:pPr>
      <w:r>
        <w:rPr>
          <w:i w:val="0"/>
        </w:rPr>
        <w:t xml:space="preserve">Welwood, J. (2000). </w:t>
      </w:r>
      <w:r>
        <w:rPr>
          <w:i/>
        </w:rPr>
        <w:t>Toward a psychology of awakening: Buddhism, psychotherapy, and the path of personal and spiritual transformation</w:t>
      </w:r>
      <w:r>
        <w:rPr>
          <w:i w:val="0"/>
        </w:rPr>
        <w:t>. Shambhala.</w:t>
      </w:r>
    </w:p>
    <w:p>
      <w:pPr>
        <w:ind w:left="720" w:hanging="720"/>
      </w:pPr>
      <w:r>
        <w:rPr>
          <w:i w:val="0"/>
        </w:rPr>
        <w:t xml:space="preserve">Winnicott, D. W. (1965). Ego distortion in terms of true and false self. In </w:t>
      </w:r>
      <w:r>
        <w:rPr>
          <w:i/>
        </w:rPr>
        <w:t>The maturational processes and the facilitating environment: Studies in the theory of emotional development</w:t>
      </w:r>
      <w:r>
        <w:rPr>
          <w:i w:val="0"/>
        </w:rPr>
        <w:t xml:space="preserve"> (pp. 140–152). International Universities Press. (Original work published 1960)</w:t>
      </w:r>
    </w:p>
    <w:p>
      <w:pPr>
        <w:ind w:left="720" w:hanging="720"/>
      </w:pPr>
      <w:r>
        <w:rPr>
          <w:i w:val="0"/>
        </w:rPr>
        <w:t xml:space="preserve">Winnicott, D. W. (1971). </w:t>
      </w:r>
      <w:r>
        <w:rPr>
          <w:i/>
        </w:rPr>
        <w:t>Playing and reality</w:t>
      </w:r>
      <w:r>
        <w:rPr>
          <w:i w:val="0"/>
        </w:rPr>
        <w:t>. Tavistock Publications.</w:t>
      </w:r>
    </w:p>
    <w:p>
      <w:pPr>
        <w:ind w:left="720" w:hanging="720"/>
      </w:pPr>
      <w:r>
        <w:rPr>
          <w:i w:val="0"/>
        </w:rPr>
        <w:t xml:space="preserve">Yalom, I. D. (1980). </w:t>
      </w:r>
      <w:r>
        <w:rPr>
          <w:i/>
        </w:rPr>
        <w:t>Existential psychotherapy</w:t>
      </w:r>
      <w:r>
        <w:rPr>
          <w:i w:val="0"/>
        </w:rPr>
        <w:t>. Basic Books.</w:t>
      </w:r>
    </w:p>
    <w:p>
      <w:pPr>
        <w:ind w:left="720" w:hanging="720"/>
      </w:pPr>
      <w:r>
        <w:rPr>
          <w:i w:val="0"/>
        </w:rPr>
        <w:t xml:space="preserve">Yalom, I. D. (2002). </w:t>
      </w:r>
      <w:r>
        <w:rPr>
          <w:i/>
        </w:rPr>
        <w:t>The gift of therapy: An open letter to a new generation of therapists and their patients</w:t>
      </w:r>
      <w:r>
        <w:rPr>
          <w:i w:val="0"/>
        </w:rPr>
        <w:t>. HarperCollins.</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20"/>
      </w:rPr>
      <w:t>WHAT REALLY MATTERS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